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AF6" w:rsidRPr="003554E1" w:rsidRDefault="00745AF6" w:rsidP="00745AF6">
      <w:pPr>
        <w:spacing w:line="276" w:lineRule="auto"/>
        <w:jc w:val="center"/>
        <w:rPr>
          <w:rFonts w:ascii="Calibri" w:hAnsi="Calibri" w:cs="Calibri"/>
          <w:b/>
        </w:rPr>
      </w:pPr>
      <w:r w:rsidRPr="003554E1">
        <w:rPr>
          <w:rFonts w:ascii="Calibri" w:hAnsi="Calibri" w:cs="Calibri"/>
          <w:b/>
          <w:noProof/>
        </w:rPr>
        <w:drawing>
          <wp:inline distT="0" distB="0" distL="0" distR="0" wp14:anchorId="300B9AF8" wp14:editId="4844F8A1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F6" w:rsidRPr="003554E1" w:rsidRDefault="00745AF6" w:rsidP="00745AF6">
      <w:pPr>
        <w:spacing w:line="276" w:lineRule="auto"/>
        <w:jc w:val="center"/>
        <w:rPr>
          <w:rFonts w:ascii="Calibri" w:hAnsi="Calibri" w:cs="Calibri"/>
          <w:b/>
        </w:rPr>
      </w:pPr>
    </w:p>
    <w:p w:rsidR="00745AF6" w:rsidRPr="003554E1" w:rsidRDefault="00745AF6" w:rsidP="00745AF6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3554E1">
        <w:rPr>
          <w:rFonts w:ascii="Calibri" w:hAnsi="Calibri" w:cs="Calibri"/>
          <w:b/>
          <w:color w:val="FF0000"/>
        </w:rPr>
        <w:t>ИНФОРМАЦИОННЫЙ ДАЙДЖЕСТ</w:t>
      </w:r>
    </w:p>
    <w:p w:rsidR="00745AF6" w:rsidRPr="003554E1" w:rsidRDefault="00745AF6" w:rsidP="00745AF6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3554E1">
        <w:rPr>
          <w:rFonts w:ascii="Calibri" w:hAnsi="Calibri" w:cs="Calibri"/>
          <w:b/>
          <w:color w:val="FF0000"/>
        </w:rPr>
        <w:t xml:space="preserve">(период с </w:t>
      </w:r>
      <w:r>
        <w:rPr>
          <w:rFonts w:ascii="Calibri" w:hAnsi="Calibri" w:cs="Calibri"/>
          <w:b/>
          <w:color w:val="FF0000"/>
        </w:rPr>
        <w:t>15</w:t>
      </w:r>
      <w:r w:rsidRPr="003554E1">
        <w:rPr>
          <w:rFonts w:ascii="Calibri" w:hAnsi="Calibri" w:cs="Calibri"/>
          <w:b/>
          <w:color w:val="FF0000"/>
        </w:rPr>
        <w:t xml:space="preserve"> по  </w:t>
      </w:r>
      <w:r>
        <w:rPr>
          <w:rFonts w:ascii="Calibri" w:hAnsi="Calibri" w:cs="Calibri"/>
          <w:b/>
          <w:color w:val="FF0000"/>
        </w:rPr>
        <w:t>21</w:t>
      </w:r>
      <w:bookmarkStart w:id="0" w:name="_GoBack"/>
      <w:bookmarkEnd w:id="0"/>
      <w:r w:rsidRPr="003554E1">
        <w:rPr>
          <w:rFonts w:ascii="Calibri" w:hAnsi="Calibri" w:cs="Calibri"/>
          <w:b/>
          <w:color w:val="FF0000"/>
        </w:rPr>
        <w:t xml:space="preserve"> июля 2024 года)</w:t>
      </w:r>
    </w:p>
    <w:p w:rsidR="00745AF6" w:rsidRPr="003554E1" w:rsidRDefault="00745AF6" w:rsidP="00745AF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45AF6" w:rsidRDefault="00745AF6" w:rsidP="00745AF6">
      <w:pPr>
        <w:jc w:val="both"/>
        <w:rPr>
          <w:rFonts w:ascii="Calibri" w:hAnsi="Calibri" w:cs="Calibri"/>
          <w:b/>
          <w:sz w:val="24"/>
          <w:szCs w:val="24"/>
        </w:rPr>
      </w:pPr>
    </w:p>
    <w:p w:rsidR="00745AF6" w:rsidRDefault="00745AF6" w:rsidP="00745AF6">
      <w:pPr>
        <w:jc w:val="both"/>
        <w:rPr>
          <w:rFonts w:ascii="Calibri" w:hAnsi="Calibri" w:cs="Calibri"/>
          <w:b/>
          <w:sz w:val="24"/>
          <w:szCs w:val="24"/>
        </w:rPr>
      </w:pPr>
    </w:p>
    <w:p w:rsidR="00745AF6" w:rsidRPr="00745AF6" w:rsidRDefault="00745AF6" w:rsidP="00745AF6">
      <w:pPr>
        <w:jc w:val="both"/>
        <w:rPr>
          <w:rFonts w:ascii="Calibri" w:hAnsi="Calibri" w:cs="Calibri"/>
          <w:b/>
          <w:sz w:val="24"/>
          <w:szCs w:val="24"/>
        </w:rPr>
      </w:pPr>
    </w:p>
    <w:p w:rsidR="00745AF6" w:rsidRPr="00745AF6" w:rsidRDefault="00745AF6" w:rsidP="00745AF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745AF6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745AF6" w:rsidRPr="00745AF6" w:rsidRDefault="00745AF6" w:rsidP="00745AF6">
      <w:pPr>
        <w:jc w:val="both"/>
        <w:rPr>
          <w:rFonts w:ascii="Calibri" w:hAnsi="Calibri" w:cs="Calibri"/>
          <w:b/>
          <w:sz w:val="24"/>
          <w:szCs w:val="24"/>
        </w:rPr>
      </w:pPr>
      <w:r w:rsidRPr="00745AF6">
        <w:rPr>
          <w:rFonts w:ascii="Calibri" w:hAnsi="Calibri" w:cs="Calibri"/>
          <w:b/>
          <w:sz w:val="24"/>
          <w:szCs w:val="24"/>
        </w:rPr>
        <w:t xml:space="preserve">Минздрав в 2024 году дополнительно получит 484 млн рублей из </w:t>
      </w:r>
      <w:proofErr w:type="spellStart"/>
      <w:r w:rsidRPr="00745AF6">
        <w:rPr>
          <w:rFonts w:ascii="Calibri" w:hAnsi="Calibri" w:cs="Calibri"/>
          <w:b/>
          <w:sz w:val="24"/>
          <w:szCs w:val="24"/>
        </w:rPr>
        <w:t>федбюджета</w:t>
      </w:r>
      <w:proofErr w:type="spellEnd"/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Президент РФ Владимир Путин утвердил скорректированный ФЗ «О федеральном бюджете на 2024 год и на плановый период 2025 и 2026 годов». Всего профильным ведомствам, учреждениям, а также на госпрограммы из федерального бюджета будет дополнительно направлено 2,4 млрд рублей. Более половины из этой суммы (1,37 млрд рублей) государство предоставит для реализации госпрограммы «Развитие здравоохранения», а непосредственно Минздрав получит 484 млн рублей.</w:t>
      </w:r>
    </w:p>
    <w:p w:rsidR="00745AF6" w:rsidRPr="00745AF6" w:rsidRDefault="00745AF6" w:rsidP="00745AF6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745AF6">
        <w:rPr>
          <w:rFonts w:ascii="Calibri" w:hAnsi="Calibri" w:cs="Calibri"/>
          <w:spacing w:val="-5"/>
          <w:sz w:val="24"/>
          <w:szCs w:val="24"/>
        </w:rPr>
        <w:t xml:space="preserve">Наибольшие объемы </w:t>
      </w:r>
      <w:proofErr w:type="spellStart"/>
      <w:r w:rsidRPr="00745AF6">
        <w:rPr>
          <w:rFonts w:ascii="Calibri" w:hAnsi="Calibri" w:cs="Calibri"/>
          <w:spacing w:val="-5"/>
          <w:sz w:val="24"/>
          <w:szCs w:val="24"/>
        </w:rPr>
        <w:t>допсредств</w:t>
      </w:r>
      <w:proofErr w:type="spellEnd"/>
      <w:r w:rsidRPr="00745AF6">
        <w:rPr>
          <w:rFonts w:ascii="Calibri" w:hAnsi="Calibri" w:cs="Calibri"/>
          <w:spacing w:val="-5"/>
          <w:sz w:val="24"/>
          <w:szCs w:val="24"/>
        </w:rPr>
        <w:t xml:space="preserve">, как указано в документе, Минздрав должен будет направить на госпрограмму «Развитие здравоохранения» – 318 млн рублей, из которых 300 млн пойдут на </w:t>
      </w:r>
      <w:proofErr w:type="spellStart"/>
      <w:r w:rsidRPr="00745AF6">
        <w:rPr>
          <w:rFonts w:ascii="Calibri" w:hAnsi="Calibri" w:cs="Calibri"/>
          <w:spacing w:val="-5"/>
          <w:sz w:val="24"/>
          <w:szCs w:val="24"/>
        </w:rPr>
        <w:t>федпроект</w:t>
      </w:r>
      <w:proofErr w:type="spellEnd"/>
      <w:r w:rsidRPr="00745AF6">
        <w:rPr>
          <w:rFonts w:ascii="Calibri" w:hAnsi="Calibri" w:cs="Calibri"/>
          <w:spacing w:val="-5"/>
          <w:sz w:val="24"/>
          <w:szCs w:val="24"/>
        </w:rPr>
        <w:t xml:space="preserve"> «Развитие инфраструктуры здравоохранения». На развитие профильного высшего образования Минздрав направит 75,137 млн рублей, 75,128 млн из них потратят на госпрограмму «Научно-технологическое развитие РФ».</w:t>
      </w:r>
    </w:p>
    <w:p w:rsidR="00745AF6" w:rsidRPr="00745AF6" w:rsidRDefault="00745AF6" w:rsidP="00745AF6">
      <w:pPr>
        <w:jc w:val="both"/>
        <w:rPr>
          <w:rFonts w:ascii="Calibri" w:hAnsi="Calibri" w:cs="Calibri"/>
          <w:spacing w:val="-5"/>
          <w:sz w:val="24"/>
          <w:szCs w:val="24"/>
        </w:rPr>
      </w:pPr>
      <w:proofErr w:type="spellStart"/>
      <w:r w:rsidRPr="00745AF6">
        <w:rPr>
          <w:rFonts w:ascii="Calibri" w:hAnsi="Calibri" w:cs="Calibri"/>
          <w:spacing w:val="-5"/>
          <w:sz w:val="24"/>
          <w:szCs w:val="24"/>
        </w:rPr>
        <w:t>Роспотребнадзор</w:t>
      </w:r>
      <w:proofErr w:type="spellEnd"/>
      <w:r w:rsidRPr="00745AF6">
        <w:rPr>
          <w:rFonts w:ascii="Calibri" w:hAnsi="Calibri" w:cs="Calibri"/>
          <w:spacing w:val="-5"/>
          <w:sz w:val="24"/>
          <w:szCs w:val="24"/>
        </w:rPr>
        <w:t xml:space="preserve"> из </w:t>
      </w:r>
      <w:proofErr w:type="spellStart"/>
      <w:r w:rsidRPr="00745AF6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745AF6">
        <w:rPr>
          <w:rFonts w:ascii="Calibri" w:hAnsi="Calibri" w:cs="Calibri"/>
          <w:spacing w:val="-5"/>
          <w:sz w:val="24"/>
          <w:szCs w:val="24"/>
        </w:rPr>
        <w:t xml:space="preserve"> дополнительно получит 1,5 млн рублей на предоставление субсидий бюджетным, автономным учреждениями и иным некоммерческим организациям.</w:t>
      </w:r>
    </w:p>
    <w:p w:rsidR="00745AF6" w:rsidRPr="00745AF6" w:rsidRDefault="00745AF6" w:rsidP="00745AF6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745AF6">
        <w:rPr>
          <w:rFonts w:ascii="Calibri" w:hAnsi="Calibri" w:cs="Calibri"/>
          <w:spacing w:val="-5"/>
          <w:sz w:val="24"/>
          <w:szCs w:val="24"/>
        </w:rPr>
        <w:t>Федеральному медико-биологическому агентству (ФМБА) будет выделен еще 121 млн рублей. Почти 45 млн рублей ФМБА направит на госпрограмму «Развитие здравоохранения», в частности на комплекс процессных мероприятий «Медико-санитарное обеспечение отдельных категорий граждан». Еще 63 млн рублей ФМБА должно будет выплатить людям, </w:t>
      </w:r>
      <w:hyperlink r:id="rId6" w:history="1">
        <w:r w:rsidRPr="00745AF6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награжденным</w:t>
        </w:r>
      </w:hyperlink>
      <w:r w:rsidRPr="00745AF6">
        <w:rPr>
          <w:rFonts w:ascii="Calibri" w:hAnsi="Calibri" w:cs="Calibri"/>
          <w:spacing w:val="-5"/>
          <w:sz w:val="24"/>
          <w:szCs w:val="24"/>
        </w:rPr>
        <w:t> нагрудным знаком «Почетный донор России».</w:t>
      </w:r>
    </w:p>
    <w:p w:rsidR="00745AF6" w:rsidRPr="00745AF6" w:rsidRDefault="00745AF6" w:rsidP="00745AF6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745AF6">
        <w:rPr>
          <w:rFonts w:ascii="Calibri" w:hAnsi="Calibri" w:cs="Calibri"/>
          <w:spacing w:val="-5"/>
          <w:sz w:val="24"/>
          <w:szCs w:val="24"/>
        </w:rPr>
        <w:t xml:space="preserve">В законе также указаны объем средств, которые будут направлены непосредственно на госпрограмму «Развитие здравоохранения». На эту статью расходов государство дополнительно выделит 535 млн рублей, из которых 300 млн будут использованы в качестве капитального вложения в объекты госсобственности. Еще 54 млн рублей будут направлены по данной статье на финансирование комплекса мероприятий «Организация государственного </w:t>
      </w:r>
      <w:r w:rsidRPr="00745AF6">
        <w:rPr>
          <w:rFonts w:ascii="Calibri" w:hAnsi="Calibri" w:cs="Calibri"/>
          <w:spacing w:val="-5"/>
          <w:sz w:val="24"/>
          <w:szCs w:val="24"/>
        </w:rPr>
        <w:lastRenderedPageBreak/>
        <w:t>санитарно-эпидемиологического надзора и обеспечения санитарно-эпидемиологического благополучия населения», 50 млн рублей пойдут на медико-санитарное обеспечение отдельных категорий граждан, 46,5 млн рублей – на содействие международному сотрудничеству в сфере охраны здоровья.</w:t>
      </w:r>
    </w:p>
    <w:p w:rsidR="00745AF6" w:rsidRPr="00745AF6" w:rsidRDefault="00745AF6" w:rsidP="00745AF6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745AF6">
        <w:rPr>
          <w:rFonts w:ascii="Calibri" w:hAnsi="Calibri" w:cs="Calibri"/>
          <w:spacing w:val="-5"/>
          <w:sz w:val="24"/>
          <w:szCs w:val="24"/>
        </w:rPr>
        <w:t xml:space="preserve">Обновленный закон предусматривает также дополнительные вливания бюджетных средств на субсидирование госучреждений, принимающих участие в госпрограмме «Развитие здравоохранения». На эти цели из </w:t>
      </w:r>
      <w:proofErr w:type="spellStart"/>
      <w:r w:rsidRPr="00745AF6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745AF6">
        <w:rPr>
          <w:rFonts w:ascii="Calibri" w:hAnsi="Calibri" w:cs="Calibri"/>
          <w:spacing w:val="-5"/>
          <w:sz w:val="24"/>
          <w:szCs w:val="24"/>
        </w:rPr>
        <w:t xml:space="preserve"> будет выделено еще 471,7 млн рублей.</w:t>
      </w:r>
    </w:p>
    <w:p w:rsidR="00745AF6" w:rsidRPr="00745AF6" w:rsidRDefault="00745AF6" w:rsidP="00745AF6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745AF6">
        <w:rPr>
          <w:rFonts w:ascii="Calibri" w:hAnsi="Calibri" w:cs="Calibri"/>
          <w:spacing w:val="-5"/>
          <w:sz w:val="24"/>
          <w:szCs w:val="24"/>
        </w:rPr>
        <w:t xml:space="preserve">Помимо этого, государство предоставит 787,8 млн рублей на потребности системы здравоохранения, из них 197,7 млн рублей – на стационарную медпомощь, 34,7 млн рублей – на амбулаторную помощь, 58,5 млн рублей – на санитарно-эпидемиологическое благополучие, 32,3 млн рублей – на прикладные научные исследования в области здравоохранения. Увеличение расходов </w:t>
      </w:r>
      <w:proofErr w:type="spellStart"/>
      <w:r w:rsidRPr="00745AF6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745AF6">
        <w:rPr>
          <w:rFonts w:ascii="Calibri" w:hAnsi="Calibri" w:cs="Calibri"/>
          <w:spacing w:val="-5"/>
          <w:sz w:val="24"/>
          <w:szCs w:val="24"/>
        </w:rPr>
        <w:t xml:space="preserve"> на здравоохранение на 787 млн рублей в июне 2024 года </w:t>
      </w:r>
      <w:hyperlink r:id="rId7" w:history="1">
        <w:r w:rsidRPr="00745AF6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одобрили</w:t>
        </w:r>
      </w:hyperlink>
      <w:r w:rsidRPr="00745AF6">
        <w:rPr>
          <w:rFonts w:ascii="Calibri" w:hAnsi="Calibri" w:cs="Calibri"/>
          <w:spacing w:val="-5"/>
          <w:sz w:val="24"/>
          <w:szCs w:val="24"/>
        </w:rPr>
        <w:t> в Комитете Госдумы по охране здоровья.</w:t>
      </w:r>
    </w:p>
    <w:p w:rsidR="00745AF6" w:rsidRPr="00745AF6" w:rsidRDefault="00745AF6" w:rsidP="00745AF6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745AF6">
        <w:rPr>
          <w:rFonts w:ascii="Calibri" w:hAnsi="Calibri" w:cs="Calibri"/>
          <w:spacing w:val="-5"/>
          <w:sz w:val="24"/>
          <w:szCs w:val="24"/>
        </w:rPr>
        <w:t>Проект федерального бюджета на 2024–2026 годы Правительство РФ </w:t>
      </w:r>
      <w:hyperlink r:id="rId8" w:history="1">
        <w:r w:rsidRPr="00745AF6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внесло</w:t>
        </w:r>
      </w:hyperlink>
      <w:r w:rsidRPr="00745AF6">
        <w:rPr>
          <w:rFonts w:ascii="Calibri" w:hAnsi="Calibri" w:cs="Calibri"/>
          <w:spacing w:val="-5"/>
          <w:sz w:val="24"/>
          <w:szCs w:val="24"/>
        </w:rPr>
        <w:t> в Госдуму в сентябре 2023 года. По разделу «здравоохранение» бюджет на 2024 год обозначен в 1,62 трлн рублей, что в денежном выражении превышает показатель 2023 года на 7,2%. Профильные расходы в общем объеме бюджета тогда сократились с 5,3% до 4,4% год к году. Позднее, в октябре 2023 года, Счетная палата РФ </w:t>
      </w:r>
      <w:hyperlink r:id="rId9" w:history="1">
        <w:r w:rsidRPr="00745AF6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сообщила</w:t>
        </w:r>
      </w:hyperlink>
      <w:r w:rsidRPr="00745AF6">
        <w:rPr>
          <w:rFonts w:ascii="Calibri" w:hAnsi="Calibri" w:cs="Calibri"/>
          <w:spacing w:val="-5"/>
          <w:sz w:val="24"/>
          <w:szCs w:val="24"/>
        </w:rPr>
        <w:t xml:space="preserve">, что в сопоставимых ценах затраты по данному разделу снизились на 1,2%. Закон о </w:t>
      </w:r>
      <w:proofErr w:type="spellStart"/>
      <w:r w:rsidRPr="00745AF6">
        <w:rPr>
          <w:rFonts w:ascii="Calibri" w:hAnsi="Calibri" w:cs="Calibri"/>
          <w:spacing w:val="-5"/>
          <w:sz w:val="24"/>
          <w:szCs w:val="24"/>
        </w:rPr>
        <w:t>федбюджете</w:t>
      </w:r>
      <w:proofErr w:type="spellEnd"/>
      <w:r w:rsidRPr="00745AF6">
        <w:rPr>
          <w:rFonts w:ascii="Calibri" w:hAnsi="Calibri" w:cs="Calibri"/>
          <w:spacing w:val="-5"/>
          <w:sz w:val="24"/>
          <w:szCs w:val="24"/>
        </w:rPr>
        <w:t xml:space="preserve"> на 2024 и плановые 2025-2026 годы был утвержден в ноябре 2023 года.</w:t>
      </w:r>
    </w:p>
    <w:p w:rsidR="00745AF6" w:rsidRPr="00745AF6" w:rsidRDefault="00745AF6" w:rsidP="00745AF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hyperlink r:id="rId10" w:history="1">
        <w:r w:rsidRPr="00745AF6">
          <w:rPr>
            <w:rStyle w:val="a3"/>
            <w:rFonts w:ascii="Calibri" w:hAnsi="Calibri" w:cs="Calibri"/>
            <w:sz w:val="24"/>
            <w:szCs w:val="24"/>
          </w:rPr>
          <w:t>https://vademec.ru/news/2024/07/15/minzdrav-v-2024-godu-dopolnitelno-poluchit-484-mln-rubley-iz-fedbyudzheta/</w:t>
        </w:r>
      </w:hyperlink>
    </w:p>
    <w:p w:rsidR="0047269A" w:rsidRPr="00745AF6" w:rsidRDefault="0047269A" w:rsidP="00745AF6">
      <w:pPr>
        <w:jc w:val="both"/>
        <w:rPr>
          <w:rFonts w:ascii="Calibri" w:hAnsi="Calibri" w:cs="Calibri"/>
          <w:b/>
          <w:sz w:val="24"/>
          <w:szCs w:val="24"/>
        </w:rPr>
      </w:pPr>
      <w:r w:rsidRPr="00745AF6">
        <w:rPr>
          <w:rFonts w:ascii="Calibri" w:hAnsi="Calibri" w:cs="Calibri"/>
          <w:b/>
          <w:sz w:val="24"/>
          <w:szCs w:val="24"/>
        </w:rPr>
        <w:t xml:space="preserve">Для </w:t>
      </w:r>
      <w:proofErr w:type="spellStart"/>
      <w:r w:rsidRPr="00745AF6">
        <w:rPr>
          <w:rFonts w:ascii="Calibri" w:hAnsi="Calibri" w:cs="Calibri"/>
          <w:b/>
          <w:sz w:val="24"/>
          <w:szCs w:val="24"/>
        </w:rPr>
        <w:t>федпроекта</w:t>
      </w:r>
      <w:proofErr w:type="spellEnd"/>
      <w:r w:rsidRPr="00745AF6">
        <w:rPr>
          <w:rFonts w:ascii="Calibri" w:hAnsi="Calibri" w:cs="Calibri"/>
          <w:b/>
          <w:sz w:val="24"/>
          <w:szCs w:val="24"/>
        </w:rPr>
        <w:t xml:space="preserve"> «Медицинские кадры» разработают информационный ресурс 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 xml:space="preserve">Премьер-министр Михаил </w:t>
      </w:r>
      <w:proofErr w:type="spellStart"/>
      <w:r w:rsidRPr="00745AF6">
        <w:rPr>
          <w:rFonts w:ascii="Calibri" w:hAnsi="Calibri" w:cs="Calibri"/>
          <w:sz w:val="24"/>
          <w:szCs w:val="24"/>
        </w:rPr>
        <w:t>Мишустин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дал поручения по доработке нацпроекта «Продолжительная и активная жизнь». В его рамках планируется усовершенствование кадровой политики в здравоохранении.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В актуализированной версии нового нацпроекта «Продолжительная и активная жизнь» появится задача по разработке информационного ресурса для сопровождения федерального проекта «Медицинские кадры». Такое поручение дал премьер-министр </w:t>
      </w:r>
      <w:r w:rsidRPr="00745AF6">
        <w:rPr>
          <w:rStyle w:val="a5"/>
          <w:rFonts w:ascii="Calibri" w:hAnsi="Calibri" w:cs="Calibri"/>
          <w:color w:val="1A1B1D"/>
          <w:sz w:val="24"/>
          <w:szCs w:val="24"/>
        </w:rPr>
        <w:t xml:space="preserve">Михаил </w:t>
      </w:r>
      <w:proofErr w:type="spellStart"/>
      <w:r w:rsidRPr="00745AF6">
        <w:rPr>
          <w:rStyle w:val="a5"/>
          <w:rFonts w:ascii="Calibri" w:hAnsi="Calibri" w:cs="Calibri"/>
          <w:color w:val="1A1B1D"/>
          <w:sz w:val="24"/>
          <w:szCs w:val="24"/>
        </w:rPr>
        <w:t>Мишустин</w:t>
      </w:r>
      <w:proofErr w:type="spellEnd"/>
      <w:r w:rsidRPr="00745AF6">
        <w:rPr>
          <w:rFonts w:ascii="Calibri" w:hAnsi="Calibri" w:cs="Calibri"/>
          <w:sz w:val="24"/>
          <w:szCs w:val="24"/>
        </w:rPr>
        <w:t>, </w:t>
      </w:r>
      <w:hyperlink r:id="rId11" w:tgtFrame="_blank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сообщила</w:t>
        </w:r>
      </w:hyperlink>
      <w:r w:rsidRPr="00745AF6">
        <w:rPr>
          <w:rFonts w:ascii="Calibri" w:hAnsi="Calibri" w:cs="Calibri"/>
          <w:sz w:val="24"/>
          <w:szCs w:val="24"/>
        </w:rPr>
        <w:t xml:space="preserve"> 21 июля пресс-служба </w:t>
      </w:r>
      <w:proofErr w:type="spellStart"/>
      <w:r w:rsidRPr="00745AF6">
        <w:rPr>
          <w:rFonts w:ascii="Calibri" w:hAnsi="Calibri" w:cs="Calibri"/>
          <w:sz w:val="24"/>
          <w:szCs w:val="24"/>
        </w:rPr>
        <w:t>кабмина</w:t>
      </w:r>
      <w:proofErr w:type="spellEnd"/>
      <w:r w:rsidRPr="00745AF6">
        <w:rPr>
          <w:rFonts w:ascii="Calibri" w:hAnsi="Calibri" w:cs="Calibri"/>
          <w:sz w:val="24"/>
          <w:szCs w:val="24"/>
        </w:rPr>
        <w:t>.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Доработанная версия нацпроекта должна быть представлена Минздравом к началу августа 2024 года. Его главная цель – увеличение ожидаемой продолжительности жизни к 2030 году до 78 лет (сейчас показатель составляет 73,5 года).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В паспорте нацпроекта планируется также учесть показатели ожидаемой продолжительности здоровой жизни.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 xml:space="preserve">Для совершенствования кадровой политики в здравоохранении </w:t>
      </w:r>
      <w:proofErr w:type="spellStart"/>
      <w:r w:rsidRPr="00745AF6">
        <w:rPr>
          <w:rFonts w:ascii="Calibri" w:hAnsi="Calibri" w:cs="Calibri"/>
          <w:sz w:val="24"/>
          <w:szCs w:val="24"/>
        </w:rPr>
        <w:t>Минобрнауки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поручено проработать вопрос об увеличении с 2025 года количества бюджетных мест в вузах по медицинским специальностям. Аналогичная задача поставлена перед </w:t>
      </w:r>
      <w:proofErr w:type="spellStart"/>
      <w:r w:rsidRPr="00745AF6">
        <w:rPr>
          <w:rFonts w:ascii="Calibri" w:hAnsi="Calibri" w:cs="Calibri"/>
          <w:sz w:val="24"/>
          <w:szCs w:val="24"/>
        </w:rPr>
        <w:t>Минпросвещения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– поэтапное увеличение приема студентов-медиков, обучающихся по программам среднего профессионального образования, в том числе в рамках федерального проекта «</w:t>
      </w:r>
      <w:proofErr w:type="spellStart"/>
      <w:r w:rsidRPr="00745AF6">
        <w:rPr>
          <w:rFonts w:ascii="Calibri" w:hAnsi="Calibri" w:cs="Calibri"/>
          <w:sz w:val="24"/>
          <w:szCs w:val="24"/>
        </w:rPr>
        <w:t>Профессионалитет</w:t>
      </w:r>
      <w:proofErr w:type="spellEnd"/>
      <w:r w:rsidRPr="00745AF6">
        <w:rPr>
          <w:rFonts w:ascii="Calibri" w:hAnsi="Calibri" w:cs="Calibri"/>
          <w:sz w:val="24"/>
          <w:szCs w:val="24"/>
        </w:rPr>
        <w:t>».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lastRenderedPageBreak/>
        <w:t>Минздраву совместно с региональными властями поручено разработать для каждого субъекта планы мероприятий по сокращению дефицита медицинских кадров на 2025–2030 годы.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Всего в составе нацпроекта «Продолжительная и активная жизнь» будут реализовываться 11 федеральных проектов. Четыре из них будут посвящены помощи людям с серьезными заболеваниями: сердечно-сосудистыми, онкологическими, сахарным диабетом, гепатитом С.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Кадровая проблема в отрасли также будет решаться в рамках другого нового нацпроекта — «Кадры». В него, </w:t>
      </w:r>
      <w:hyperlink r:id="rId12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</w:rPr>
          <w:t>как сообщала</w:t>
        </w:r>
      </w:hyperlink>
      <w:r w:rsidRPr="00745AF6">
        <w:rPr>
          <w:rFonts w:ascii="Calibri" w:hAnsi="Calibri" w:cs="Calibri"/>
          <w:sz w:val="24"/>
          <w:szCs w:val="24"/>
        </w:rPr>
        <w:t> вице-премьер </w:t>
      </w:r>
      <w:r w:rsidRPr="00745AF6">
        <w:rPr>
          <w:rStyle w:val="a5"/>
          <w:rFonts w:ascii="Calibri" w:hAnsi="Calibri" w:cs="Calibri"/>
          <w:color w:val="1A1B1D"/>
          <w:sz w:val="24"/>
          <w:szCs w:val="24"/>
        </w:rPr>
        <w:t>Татьяна Голикова</w:t>
      </w:r>
      <w:r w:rsidRPr="00745AF6">
        <w:rPr>
          <w:rFonts w:ascii="Calibri" w:hAnsi="Calibri" w:cs="Calibri"/>
          <w:sz w:val="24"/>
          <w:szCs w:val="24"/>
        </w:rPr>
        <w:t>,</w:t>
      </w:r>
      <w:r w:rsidRPr="00745AF6">
        <w:rPr>
          <w:rStyle w:val="a5"/>
          <w:rFonts w:ascii="Calibri" w:hAnsi="Calibri" w:cs="Calibri"/>
          <w:color w:val="1A1B1D"/>
          <w:sz w:val="24"/>
          <w:szCs w:val="24"/>
        </w:rPr>
        <w:t> </w:t>
      </w:r>
      <w:r w:rsidRPr="00745AF6">
        <w:rPr>
          <w:rFonts w:ascii="Calibri" w:hAnsi="Calibri" w:cs="Calibri"/>
          <w:sz w:val="24"/>
          <w:szCs w:val="24"/>
        </w:rPr>
        <w:t>войдут четыре федеральных проекта.</w:t>
      </w:r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На решение проблемы врачебного кадрового дефицита в здравоохранении требуется не менее 5—6 лет, комплекс мер для решения этой задачи проработан, </w:t>
      </w:r>
      <w:hyperlink r:id="rId13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</w:rPr>
          <w:t>заявлял ранее</w:t>
        </w:r>
      </w:hyperlink>
      <w:r w:rsidRPr="00745AF6">
        <w:rPr>
          <w:rFonts w:ascii="Calibri" w:hAnsi="Calibri" w:cs="Calibri"/>
          <w:sz w:val="24"/>
          <w:szCs w:val="24"/>
        </w:rPr>
        <w:t> министр здравоохранения </w:t>
      </w:r>
      <w:r w:rsidRPr="00745AF6">
        <w:rPr>
          <w:rStyle w:val="a5"/>
          <w:rFonts w:ascii="Calibri" w:hAnsi="Calibri" w:cs="Calibri"/>
          <w:color w:val="1A1B1D"/>
          <w:sz w:val="24"/>
          <w:szCs w:val="24"/>
        </w:rPr>
        <w:t>Михаил Мурашко</w:t>
      </w:r>
      <w:r w:rsidRPr="00745AF6">
        <w:rPr>
          <w:rFonts w:ascii="Calibri" w:hAnsi="Calibri" w:cs="Calibri"/>
          <w:sz w:val="24"/>
          <w:szCs w:val="24"/>
        </w:rPr>
        <w:t>. Ликвидация кадрового дефицита в отношении среднего медперсонала, по его словам, может занять 4—5 лет. Позднее стало известно, что от регионов потребуют </w:t>
      </w:r>
      <w:hyperlink r:id="rId14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</w:rPr>
          <w:t>планы</w:t>
        </w:r>
      </w:hyperlink>
      <w:r w:rsidRPr="00745AF6">
        <w:rPr>
          <w:rFonts w:ascii="Calibri" w:hAnsi="Calibri" w:cs="Calibri"/>
          <w:sz w:val="24"/>
          <w:szCs w:val="24"/>
        </w:rPr>
        <w:t> по обеспеченности медицинскими кадрами, а крупные организации в сфере медицины и фармацевтики смогут получать </w:t>
      </w:r>
      <w:hyperlink r:id="rId15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</w:rPr>
          <w:t>субсидии</w:t>
        </w:r>
      </w:hyperlink>
      <w:r w:rsidRPr="00745AF6">
        <w:rPr>
          <w:rFonts w:ascii="Calibri" w:hAnsi="Calibri" w:cs="Calibri"/>
          <w:sz w:val="24"/>
          <w:szCs w:val="24"/>
        </w:rPr>
        <w:t> за привлечение сотрудников из других субъектов.</w:t>
      </w:r>
    </w:p>
    <w:p w:rsidR="0047269A" w:rsidRPr="00745AF6" w:rsidRDefault="00C27E60" w:rsidP="00745AF6">
      <w:pPr>
        <w:jc w:val="both"/>
        <w:rPr>
          <w:rFonts w:ascii="Calibri" w:hAnsi="Calibri" w:cs="Calibri"/>
          <w:sz w:val="24"/>
          <w:szCs w:val="24"/>
        </w:rPr>
      </w:pPr>
      <w:hyperlink r:id="rId16" w:history="1">
        <w:r w:rsidR="0047269A" w:rsidRPr="00745AF6">
          <w:rPr>
            <w:rStyle w:val="a3"/>
            <w:rFonts w:ascii="Calibri" w:hAnsi="Calibri" w:cs="Calibri"/>
            <w:sz w:val="24"/>
            <w:szCs w:val="24"/>
          </w:rPr>
          <w:t>https://medvestnik.ru/content/news/Dlya-fedproekta-Medicinskie-kadry-razrabotaut-informacionnyi-resurs.html</w:t>
        </w:r>
      </w:hyperlink>
    </w:p>
    <w:p w:rsidR="0047269A" w:rsidRPr="00745AF6" w:rsidRDefault="0047269A" w:rsidP="00745AF6">
      <w:pPr>
        <w:jc w:val="both"/>
        <w:rPr>
          <w:rFonts w:ascii="Calibri" w:hAnsi="Calibri" w:cs="Calibri"/>
          <w:sz w:val="24"/>
          <w:szCs w:val="24"/>
        </w:rPr>
      </w:pPr>
    </w:p>
    <w:p w:rsidR="008D72F2" w:rsidRPr="00745AF6" w:rsidRDefault="008D72F2" w:rsidP="00745AF6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745AF6">
        <w:rPr>
          <w:rFonts w:ascii="Calibri" w:hAnsi="Calibri" w:cs="Calibri"/>
          <w:b/>
          <w:color w:val="000000"/>
          <w:sz w:val="24"/>
          <w:szCs w:val="24"/>
        </w:rPr>
        <w:t>Земские доктора в новых регионах РФ получат двойную компенсацию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два раза увеличены выплаты медработникам в новых регионах РФ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Правительство РФ вдвое увеличило размер выплаты для участников программ "Земский доктор" и "Земский фельдшер" в новых регионах страны. Соответствующее постановление подписал председатель правительства Михаил </w:t>
      </w:r>
      <w:proofErr w:type="spellStart"/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Мишустин</w:t>
      </w:r>
      <w:proofErr w:type="spellEnd"/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сообщает официальный </w:t>
      </w:r>
      <w:hyperlink r:id="rId17" w:tgtFrame="_blank" w:history="1">
        <w:r w:rsidRPr="00745AF6">
          <w:rPr>
            <w:rFonts w:ascii="Calibri" w:eastAsia="Times New Roman" w:hAnsi="Calibri" w:cs="Calibri"/>
            <w:color w:val="609AC1"/>
            <w:sz w:val="24"/>
            <w:szCs w:val="24"/>
            <w:lang w:eastAsia="ru-RU"/>
          </w:rPr>
          <w:t>сайт правительства</w:t>
        </w:r>
      </w:hyperlink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Для врачей размер выплаты в Запорожской, Херсонской областях, в ДНР и ЛНР составит 2 миллиона рублей, для фельдшеров, акушерок и медсестер – до 1 миллиона рублей.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Такие же компенсации получат медработники, которые приедут на работу в отдаленные от крупных городов регионы Дальнего Востока, Крайнего Севера и Арктической зоны.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Также будут увеличены выплаты для медработников в других регионах, если их населенные пункты находятся на удаленных и труднодоступных территориях. В этом случае компенсации составят 1,5 миллиона рублей и 750 тысяч рублей соответственно. Для всех остальных – 1 миллион рублей и 500 тысяч рублей, говорится на сайте правительства.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Чтобы получить эту выплату, не обязательно переезжать в сельскую местность. Выпускникам вузов достаточно просто вернуться в свои населенные пункты, откуда они были отправлены на учебу.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Кроме того, этим же постановлением были смягчены условия получения компенсаций для медицинских работников. Они теперь смогут во время срока действия договора </w:t>
      </w: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однократно сменить место работы и перейти в другую </w:t>
      </w:r>
      <w:proofErr w:type="spellStart"/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медорганизацию</w:t>
      </w:r>
      <w:proofErr w:type="spellEnd"/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также расположенную в сельской местности.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Мишустин</w:t>
      </w:r>
      <w:proofErr w:type="spellEnd"/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отметил, что такие решения были приняты в соответствии с поручением президента. Всего в 2024 году в федеральном бюджете на выплаты медработникам в рамках программ "Земский доктор" и "Земский фельдшер" предусмотрено около 6 миллиардов рублей. Компенсации предоставляются в рамках государственной программы "Развитие здравоохранения", отмечает пресс-служба правительства.</w:t>
      </w:r>
    </w:p>
    <w:p w:rsidR="008D72F2" w:rsidRPr="00745AF6" w:rsidRDefault="008D72F2" w:rsidP="00745AF6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Почти миллион медицинских работников </w:t>
      </w:r>
      <w:hyperlink r:id="rId18" w:tgtFrame="_blank" w:history="1">
        <w:r w:rsidRPr="00745AF6">
          <w:rPr>
            <w:rFonts w:ascii="Calibri" w:eastAsia="Times New Roman" w:hAnsi="Calibri" w:cs="Calibri"/>
            <w:color w:val="609AC1"/>
            <w:sz w:val="24"/>
            <w:szCs w:val="24"/>
            <w:lang w:eastAsia="ru-RU"/>
          </w:rPr>
          <w:t>получили дополнительные социальные выплаты</w:t>
        </w:r>
      </w:hyperlink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по итогам прошлого года, сообщил председатель Федерального фонда обязательного медицинского страхования (ФОМС) Илья </w:t>
      </w:r>
      <w:proofErr w:type="spellStart"/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Баланин</w:t>
      </w:r>
      <w:proofErr w:type="spellEnd"/>
      <w:r w:rsidRPr="00745AF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Они были установлены в рамках исполнения поручения президента РФ Владимира Путина.</w:t>
      </w:r>
    </w:p>
    <w:p w:rsidR="008D72F2" w:rsidRPr="00745AF6" w:rsidRDefault="00C27E60" w:rsidP="00745AF6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="008D72F2" w:rsidRPr="00745AF6">
          <w:rPr>
            <w:rStyle w:val="a3"/>
            <w:rFonts w:ascii="Calibri" w:hAnsi="Calibri" w:cs="Calibri"/>
            <w:sz w:val="24"/>
            <w:szCs w:val="24"/>
          </w:rPr>
          <w:t>https://crimea.ria.ru/20240718/zemskie-doktora-v-novykh-regionakh-rf-poluchat-dvoynuyu-kompensatsiyu-1138974701.html?utm_source=yxnews&amp;utm_medium=desktop&amp;utm_referrer=https%3A%2F%2Fdzen.ru%2Fnews%2Fsearch%3Ftext%3D</w:t>
        </w:r>
      </w:hyperlink>
    </w:p>
    <w:p w:rsidR="00745AF6" w:rsidRPr="00745AF6" w:rsidRDefault="00745AF6" w:rsidP="00745AF6">
      <w:pPr>
        <w:jc w:val="both"/>
        <w:rPr>
          <w:rFonts w:ascii="Calibri" w:hAnsi="Calibri" w:cs="Calibri"/>
          <w:b/>
          <w:sz w:val="24"/>
          <w:szCs w:val="24"/>
        </w:rPr>
      </w:pPr>
      <w:r w:rsidRPr="00745AF6">
        <w:rPr>
          <w:rFonts w:ascii="Calibri" w:hAnsi="Calibri" w:cs="Calibri"/>
          <w:b/>
          <w:sz w:val="24"/>
          <w:szCs w:val="24"/>
        </w:rPr>
        <w:t xml:space="preserve">Госдума и СПЧ проверят жалобы на снижение зарплат медработников после обещания повысить оклады 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Совет при президенте РФ по развитию гражданского общества и правам человека и депутаты Госдумы отреагировали на жалобы медработников на снижение зарплат после обещания повысить оклады. Планируется провести проверку.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В Совет при президенте РФ по развитию гражданского общества и правам человека (СПЧ) из регионов поступают сигналы о снижении зарплат медработников после обещания президента повысить оклады. Вопрос поднимался на встрече главы СПЧ </w:t>
      </w:r>
      <w:r w:rsidRPr="00745AF6">
        <w:rPr>
          <w:rStyle w:val="a5"/>
          <w:rFonts w:ascii="Calibri" w:hAnsi="Calibri" w:cs="Calibri"/>
          <w:color w:val="1A1B1D"/>
          <w:sz w:val="24"/>
          <w:szCs w:val="24"/>
        </w:rPr>
        <w:t>Валерия Фадеева</w:t>
      </w:r>
      <w:r w:rsidRPr="00745AF6">
        <w:rPr>
          <w:rFonts w:ascii="Calibri" w:hAnsi="Calibri" w:cs="Calibri"/>
          <w:sz w:val="24"/>
          <w:szCs w:val="24"/>
        </w:rPr>
        <w:t> с председателем Комитета Госдумы по труду, социальной политике и делам ветеранов </w:t>
      </w:r>
      <w:r w:rsidRPr="00745AF6">
        <w:rPr>
          <w:rStyle w:val="a5"/>
          <w:rFonts w:ascii="Calibri" w:hAnsi="Calibri" w:cs="Calibri"/>
          <w:color w:val="1A1B1D"/>
          <w:sz w:val="24"/>
          <w:szCs w:val="24"/>
        </w:rPr>
        <w:t>Ярославом Ниловым</w:t>
      </w:r>
      <w:r w:rsidRPr="00745AF6">
        <w:rPr>
          <w:rFonts w:ascii="Calibri" w:hAnsi="Calibri" w:cs="Calibri"/>
          <w:sz w:val="24"/>
          <w:szCs w:val="24"/>
        </w:rPr>
        <w:t> 19 июля, </w:t>
      </w:r>
      <w:hyperlink r:id="rId20" w:tgtFrame="_blank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сообщила</w:t>
        </w:r>
      </w:hyperlink>
      <w:r w:rsidRPr="00745AF6">
        <w:rPr>
          <w:rFonts w:ascii="Calibri" w:hAnsi="Calibri" w:cs="Calibri"/>
          <w:sz w:val="24"/>
          <w:szCs w:val="24"/>
        </w:rPr>
        <w:t> пресс-служба Совета.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Там уточнили, что, по информации с мест, некоторым врачам действительно повышают оклад, но при этом убирают стимулирующие надбавки. В итоге зарплата после повышения оказывается даже ниже изначальной.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«Эта информация должна быть проверена», — заявили в СПЧ. 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В феврале 2024 года президент </w:t>
      </w:r>
      <w:r w:rsidRPr="00745AF6">
        <w:rPr>
          <w:rStyle w:val="a5"/>
          <w:rFonts w:ascii="Calibri" w:hAnsi="Calibri" w:cs="Calibri"/>
          <w:color w:val="1A1B1D"/>
          <w:sz w:val="24"/>
          <w:szCs w:val="24"/>
        </w:rPr>
        <w:t>Владимир Путин </w:t>
      </w:r>
      <w:r w:rsidRPr="00745AF6">
        <w:rPr>
          <w:rFonts w:ascii="Calibri" w:hAnsi="Calibri" w:cs="Calibri"/>
          <w:sz w:val="24"/>
          <w:szCs w:val="24"/>
        </w:rPr>
        <w:t>анонсировал новые меры финансовой поддержки медработников, писал «МВ». Он </w:t>
      </w:r>
      <w:hyperlink r:id="rId21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распорядился</w:t>
        </w:r>
      </w:hyperlink>
      <w:r w:rsidRPr="00745AF6">
        <w:rPr>
          <w:rFonts w:ascii="Calibri" w:hAnsi="Calibri" w:cs="Calibri"/>
          <w:sz w:val="24"/>
          <w:szCs w:val="24"/>
        </w:rPr>
        <w:t> о повышении окладной части заработной платы медработников до 50% с 1 апреля во всех субъектах. При этом глава государства уточнил, что должны быть сохранены все дополнительные выплаты.</w:t>
      </w:r>
    </w:p>
    <w:p w:rsidR="00745AF6" w:rsidRPr="00745AF6" w:rsidRDefault="00745AF6" w:rsidP="00745AF6">
      <w:pPr>
        <w:jc w:val="both"/>
        <w:rPr>
          <w:rStyle w:val="a5"/>
          <w:rFonts w:ascii="Calibri" w:hAnsi="Calibri" w:cs="Calibri"/>
          <w:color w:val="1A1B1D"/>
          <w:sz w:val="24"/>
          <w:szCs w:val="24"/>
          <w:shd w:val="clear" w:color="auto" w:fill="FFFFFF"/>
        </w:rPr>
      </w:pPr>
      <w:r w:rsidRPr="00745AF6">
        <w:rPr>
          <w:rFonts w:ascii="Calibri" w:hAnsi="Calibri" w:cs="Calibri"/>
          <w:sz w:val="24"/>
          <w:szCs w:val="24"/>
          <w:shd w:val="clear" w:color="auto" w:fill="FFFFFF"/>
        </w:rPr>
        <w:t>Сейчас планка в 50% окладной части в зарплате бюджетников зачастую игнорируется: по данным Профсоюза работников здравоохранения России, доля выше 55% достигается только в пяти субъектах. Только в 11 достигается значение в 50% и выше (данные по всем категориям работников — врачам, среднему и младшему персоналу). В 20 регионах доля гарантированной окладной части в структуре зарплат очень низкая. В большинстве регионов зарплаты врачей «подтягивают» стимулирующими, сообщала ранее в </w:t>
      </w:r>
      <w:hyperlink r:id="rId22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  <w:shd w:val="clear" w:color="auto" w:fill="FFFFFF"/>
          </w:rPr>
          <w:t>интервью</w:t>
        </w:r>
      </w:hyperlink>
      <w:r w:rsidRPr="00745AF6">
        <w:rPr>
          <w:rFonts w:ascii="Calibri" w:hAnsi="Calibri" w:cs="Calibri"/>
          <w:sz w:val="24"/>
          <w:szCs w:val="24"/>
          <w:shd w:val="clear" w:color="auto" w:fill="FFFFFF"/>
        </w:rPr>
        <w:t> «МВ» начальник Управления экономического развития и нормативного регулирования в здравоохранении профсоюза </w:t>
      </w:r>
      <w:r w:rsidRPr="00745AF6">
        <w:rPr>
          <w:rStyle w:val="a5"/>
          <w:rFonts w:ascii="Calibri" w:hAnsi="Calibri" w:cs="Calibri"/>
          <w:color w:val="1A1B1D"/>
          <w:sz w:val="24"/>
          <w:szCs w:val="24"/>
          <w:shd w:val="clear" w:color="auto" w:fill="FFFFFF"/>
        </w:rPr>
        <w:t>Тамара Гончарова.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hyperlink r:id="rId23" w:history="1">
        <w:r w:rsidRPr="00745AF6">
          <w:rPr>
            <w:rStyle w:val="a3"/>
            <w:rFonts w:ascii="Calibri" w:hAnsi="Calibri" w:cs="Calibri"/>
            <w:sz w:val="24"/>
            <w:szCs w:val="24"/>
          </w:rPr>
          <w:t>https://medvestnik.ru/content/news/Gosduma-i-SPCh-proveryat-jaloby-na-snijenie-zarplat-medrabotnikov-posle-obeshaniya-povysit-oklady.html</w:t>
        </w:r>
      </w:hyperlink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</w:p>
    <w:p w:rsidR="008D72F2" w:rsidRPr="00745AF6" w:rsidRDefault="00745AF6" w:rsidP="00745AF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745AF6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745AF6" w:rsidRPr="00745AF6" w:rsidRDefault="00745AF6" w:rsidP="00745AF6">
      <w:pPr>
        <w:jc w:val="both"/>
        <w:rPr>
          <w:rFonts w:ascii="Calibri" w:hAnsi="Calibri" w:cs="Calibri"/>
          <w:b/>
          <w:sz w:val="24"/>
          <w:szCs w:val="24"/>
          <w:lang w:eastAsia="ru-RU"/>
        </w:rPr>
      </w:pPr>
      <w:r w:rsidRPr="00745AF6">
        <w:rPr>
          <w:rFonts w:ascii="Calibri" w:hAnsi="Calibri" w:cs="Calibri"/>
          <w:b/>
          <w:sz w:val="24"/>
          <w:szCs w:val="24"/>
          <w:lang w:eastAsia="ru-RU"/>
        </w:rPr>
        <w:t xml:space="preserve">Минздрав и ФОМС обновили правила оплаты медпомощи по ОМС 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745AF6">
        <w:rPr>
          <w:rFonts w:ascii="Calibri" w:hAnsi="Calibri" w:cs="Calibri"/>
          <w:sz w:val="24"/>
          <w:szCs w:val="24"/>
          <w:lang w:eastAsia="ru-RU"/>
        </w:rPr>
        <w:t xml:space="preserve">Минздрав и Федеральный фонд ОМС пересмотрели правила оплаты счетов за медицинскую помощь. В перечень случаев, для которых установлен коэффициент сложности лечения пациента, добавлена сопроводительная терапия при лечении </w:t>
      </w:r>
      <w:proofErr w:type="spellStart"/>
      <w:r w:rsidRPr="00745AF6">
        <w:rPr>
          <w:rFonts w:ascii="Calibri" w:hAnsi="Calibri" w:cs="Calibri"/>
          <w:sz w:val="24"/>
          <w:szCs w:val="24"/>
          <w:lang w:eastAsia="ru-RU"/>
        </w:rPr>
        <w:t>онкобольных</w:t>
      </w:r>
      <w:proofErr w:type="spellEnd"/>
      <w:r w:rsidRPr="00745AF6">
        <w:rPr>
          <w:rFonts w:ascii="Calibri" w:hAnsi="Calibri" w:cs="Calibri"/>
          <w:sz w:val="24"/>
          <w:szCs w:val="24"/>
          <w:lang w:eastAsia="ru-RU"/>
        </w:rPr>
        <w:t xml:space="preserve"> в соответствии с клиническими рекомендациями.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745AF6">
        <w:rPr>
          <w:rFonts w:ascii="Calibri" w:hAnsi="Calibri" w:cs="Calibri"/>
          <w:sz w:val="24"/>
          <w:szCs w:val="24"/>
          <w:lang w:eastAsia="ru-RU"/>
        </w:rPr>
        <w:t>Минздрав и Федеральный фонд ОМС (ФОМС) обновили </w:t>
      </w:r>
      <w:hyperlink r:id="rId24" w:history="1">
        <w:r w:rsidRPr="00745AF6">
          <w:rPr>
            <w:rFonts w:ascii="Calibri" w:hAnsi="Calibri" w:cs="Calibri"/>
            <w:color w:val="E1442F"/>
            <w:sz w:val="24"/>
            <w:szCs w:val="24"/>
            <w:lang w:eastAsia="ru-RU"/>
          </w:rPr>
          <w:t>Методические рекомендации</w:t>
        </w:r>
      </w:hyperlink>
      <w:r w:rsidRPr="00745AF6">
        <w:rPr>
          <w:rFonts w:ascii="Calibri" w:hAnsi="Calibri" w:cs="Calibri"/>
          <w:sz w:val="24"/>
          <w:szCs w:val="24"/>
          <w:lang w:eastAsia="ru-RU"/>
        </w:rPr>
        <w:t> по способам оплаты медицинской помощи за счет средств ОМС. В новой редакции </w:t>
      </w:r>
      <w:hyperlink r:id="rId25" w:tgtFrame="_blank" w:history="1">
        <w:r w:rsidRPr="00745AF6">
          <w:rPr>
            <w:rFonts w:ascii="Calibri" w:hAnsi="Calibri" w:cs="Calibri"/>
            <w:color w:val="E1442F"/>
            <w:sz w:val="24"/>
            <w:szCs w:val="24"/>
            <w:lang w:eastAsia="ru-RU"/>
          </w:rPr>
          <w:t>документа</w:t>
        </w:r>
      </w:hyperlink>
      <w:r w:rsidRPr="00745AF6">
        <w:rPr>
          <w:rFonts w:ascii="Calibri" w:hAnsi="Calibri" w:cs="Calibri"/>
          <w:sz w:val="24"/>
          <w:szCs w:val="24"/>
          <w:lang w:eastAsia="ru-RU"/>
        </w:rPr>
        <w:t> (письмо Минздрава РФ № 31-2И2-13408 от 15.07.2024) расширен с 14 до 20 позиций перечень случаев, при оплате которых допускается применять коэффициент сложности лечения пациента (КСЛП). 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745AF6">
        <w:rPr>
          <w:rFonts w:ascii="Calibri" w:hAnsi="Calibri" w:cs="Calibri"/>
          <w:sz w:val="24"/>
          <w:szCs w:val="24"/>
          <w:lang w:eastAsia="ru-RU"/>
        </w:rPr>
        <w:t>Новеллы включают повышающие коэффициенты от 0,17 до 2,67 на проведение сопроводительной лекарственной терапии при злокачественных новообразованиях у взрослых в условиях круглосуточного и дневного стационара в соответствии с клиническими рекомендациями.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745AF6">
        <w:rPr>
          <w:rFonts w:ascii="Calibri" w:hAnsi="Calibri" w:cs="Calibri"/>
          <w:sz w:val="24"/>
          <w:szCs w:val="24"/>
          <w:lang w:eastAsia="ru-RU"/>
        </w:rPr>
        <w:t xml:space="preserve">КСЛП устанавливается на федеральном уровне и применяется в отдельных случаях. Коэффициент учитывает более высокий уровень затрат, которые несут </w:t>
      </w:r>
      <w:proofErr w:type="spellStart"/>
      <w:r w:rsidRPr="00745AF6">
        <w:rPr>
          <w:rFonts w:ascii="Calibri" w:hAnsi="Calibri" w:cs="Calibri"/>
          <w:sz w:val="24"/>
          <w:szCs w:val="24"/>
          <w:lang w:eastAsia="ru-RU"/>
        </w:rPr>
        <w:t>медорганизации</w:t>
      </w:r>
      <w:proofErr w:type="spellEnd"/>
      <w:r w:rsidRPr="00745AF6">
        <w:rPr>
          <w:rFonts w:ascii="Calibri" w:hAnsi="Calibri" w:cs="Calibri"/>
          <w:sz w:val="24"/>
          <w:szCs w:val="24"/>
          <w:lang w:eastAsia="ru-RU"/>
        </w:rPr>
        <w:t xml:space="preserve"> при работе с отдельными категориями пациентов. Например, это расходы на пребывание в стационаре одного из родителей несовершеннолетних; организацию индивидуального сестринского поста; при уходе за пациентами старше 75 лет; при наличии у больных сопутствующих патологий; проведении операций на парных органах.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 xml:space="preserve">Кроме этого, в письме дополнительно акцентировано внимание руководителей и экспертов территориальных фондов ОМС, что для лечения отдельных нозологий, необходимо обязательное проведение молекулярно-генетических исследований (МГИ) и (или) </w:t>
      </w:r>
      <w:proofErr w:type="spellStart"/>
      <w:r w:rsidRPr="00745AF6">
        <w:rPr>
          <w:rFonts w:ascii="Calibri" w:hAnsi="Calibri" w:cs="Calibri"/>
          <w:sz w:val="24"/>
          <w:szCs w:val="24"/>
        </w:rPr>
        <w:t>иммуногистохимических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исследований до назначения схемы противоопухолевой лекарственной терапии — «в целях повышения эффективности расходования средств ОМС».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>Изменениями Методических рекомендаций следует руководствоваться при оплате случаев лечения в стационарных условиях и в условиях дневного стационара с датой начала лечения 04.06.2024 и позднее, говорится в пояснениях фонда.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 xml:space="preserve">Молекулярно-генетические исследования в онкологии используются для уточняющей диагностики, подбора и контроля эффективности </w:t>
      </w:r>
      <w:proofErr w:type="spellStart"/>
      <w:r w:rsidRPr="00745AF6">
        <w:rPr>
          <w:rFonts w:ascii="Calibri" w:hAnsi="Calibri" w:cs="Calibri"/>
          <w:sz w:val="24"/>
          <w:szCs w:val="24"/>
        </w:rPr>
        <w:t>таргетной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терапии. В соответствии с клиническими рекомендациями МГИ обязательны при раке молочной железы у молодых женщин или при отягощенном анамнезе; у пациентов с </w:t>
      </w:r>
      <w:proofErr w:type="spellStart"/>
      <w:r w:rsidRPr="00745AF6">
        <w:rPr>
          <w:rFonts w:ascii="Calibri" w:hAnsi="Calibri" w:cs="Calibri"/>
          <w:sz w:val="24"/>
          <w:szCs w:val="24"/>
        </w:rPr>
        <w:t>аденокарциномой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легкого; раком ободочной кишки и </w:t>
      </w:r>
      <w:proofErr w:type="spellStart"/>
      <w:r w:rsidRPr="00745AF6">
        <w:rPr>
          <w:rFonts w:ascii="Calibri" w:hAnsi="Calibri" w:cs="Calibri"/>
          <w:sz w:val="24"/>
          <w:szCs w:val="24"/>
        </w:rPr>
        <w:t>ректосигмоидного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отдела, меланомой кожи и слизистых оболочек при диагностировании метастазов; при </w:t>
      </w:r>
      <w:proofErr w:type="spellStart"/>
      <w:r w:rsidRPr="00745AF6">
        <w:rPr>
          <w:rFonts w:ascii="Calibri" w:hAnsi="Calibri" w:cs="Calibri"/>
          <w:sz w:val="24"/>
          <w:szCs w:val="24"/>
        </w:rPr>
        <w:t>местнораспространенной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неоперабельной или диссеминированной </w:t>
      </w:r>
      <w:proofErr w:type="spellStart"/>
      <w:r w:rsidRPr="00745AF6">
        <w:rPr>
          <w:rFonts w:ascii="Calibri" w:hAnsi="Calibri" w:cs="Calibri"/>
          <w:sz w:val="24"/>
          <w:szCs w:val="24"/>
        </w:rPr>
        <w:t>аденокарциноме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желудка; серозной и </w:t>
      </w:r>
      <w:proofErr w:type="spellStart"/>
      <w:r w:rsidRPr="00745AF6">
        <w:rPr>
          <w:rFonts w:ascii="Calibri" w:hAnsi="Calibri" w:cs="Calibri"/>
          <w:sz w:val="24"/>
          <w:szCs w:val="24"/>
        </w:rPr>
        <w:t>эндометриоидной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карциноме </w:t>
      </w:r>
      <w:r w:rsidRPr="00745AF6">
        <w:rPr>
          <w:rFonts w:ascii="Calibri" w:hAnsi="Calibri" w:cs="Calibri"/>
          <w:sz w:val="24"/>
          <w:szCs w:val="24"/>
        </w:rPr>
        <w:lastRenderedPageBreak/>
        <w:t>яичников и маточных труб высокой степени злокачественности. При этом в Счетной палате неоднократно указывали на </w:t>
      </w:r>
      <w:hyperlink r:id="rId26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</w:rPr>
          <w:t>проблемы</w:t>
        </w:r>
      </w:hyperlink>
      <w:r w:rsidRPr="00745AF6">
        <w:rPr>
          <w:rFonts w:ascii="Calibri" w:hAnsi="Calibri" w:cs="Calibri"/>
          <w:sz w:val="24"/>
          <w:szCs w:val="24"/>
        </w:rPr>
        <w:t> с назначением таких исследований в регионах. </w:t>
      </w: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  <w:r w:rsidRPr="00745AF6">
        <w:rPr>
          <w:rFonts w:ascii="Calibri" w:hAnsi="Calibri" w:cs="Calibri"/>
          <w:sz w:val="24"/>
          <w:szCs w:val="24"/>
        </w:rPr>
        <w:t xml:space="preserve">В прошлом году ФОМС запретил оплачивать некоторые виды </w:t>
      </w:r>
      <w:proofErr w:type="spellStart"/>
      <w:r w:rsidRPr="00745AF6">
        <w:rPr>
          <w:rFonts w:ascii="Calibri" w:hAnsi="Calibri" w:cs="Calibri"/>
          <w:sz w:val="24"/>
          <w:szCs w:val="24"/>
        </w:rPr>
        <w:t>таргетной</w:t>
      </w:r>
      <w:proofErr w:type="spellEnd"/>
      <w:r w:rsidRPr="00745AF6">
        <w:rPr>
          <w:rFonts w:ascii="Calibri" w:hAnsi="Calibri" w:cs="Calibri"/>
          <w:sz w:val="24"/>
          <w:szCs w:val="24"/>
        </w:rPr>
        <w:t xml:space="preserve"> противоопухолевой лекарственной терапии без результатов молекулярно-генетических исследований. Так планируется противостоять практике назначения дорогостоящих препаратов без предварительной диагностики, </w:t>
      </w:r>
      <w:hyperlink r:id="rId27" w:history="1">
        <w:r w:rsidRPr="00745AF6">
          <w:rPr>
            <w:rStyle w:val="a3"/>
            <w:rFonts w:ascii="Calibri" w:hAnsi="Calibri" w:cs="Calibri"/>
            <w:color w:val="E1442F"/>
            <w:sz w:val="24"/>
            <w:szCs w:val="24"/>
          </w:rPr>
          <w:t>писал</w:t>
        </w:r>
      </w:hyperlink>
      <w:r w:rsidRPr="00745AF6">
        <w:rPr>
          <w:rFonts w:ascii="Calibri" w:hAnsi="Calibri" w:cs="Calibri"/>
          <w:sz w:val="24"/>
          <w:szCs w:val="24"/>
        </w:rPr>
        <w:t> «МВ».  </w:t>
      </w:r>
    </w:p>
    <w:p w:rsidR="008D72F2" w:rsidRPr="00745AF6" w:rsidRDefault="00745AF6" w:rsidP="00745AF6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8" w:history="1">
        <w:r w:rsidRPr="00745AF6">
          <w:rPr>
            <w:rStyle w:val="a3"/>
            <w:rFonts w:ascii="Calibri" w:hAnsi="Calibri" w:cs="Calibri"/>
            <w:sz w:val="24"/>
            <w:szCs w:val="24"/>
          </w:rPr>
          <w:t>https://medvestnik.ru/content/news/Minzdrav-i-FOMS-obnovili-pravila-oplaty-medpomoshi-po-OMS.html</w:t>
        </w:r>
      </w:hyperlink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</w:p>
    <w:p w:rsidR="00745AF6" w:rsidRPr="00745AF6" w:rsidRDefault="00745AF6" w:rsidP="00745AF6">
      <w:pPr>
        <w:jc w:val="both"/>
        <w:rPr>
          <w:rFonts w:ascii="Calibri" w:hAnsi="Calibri" w:cs="Calibri"/>
          <w:sz w:val="24"/>
          <w:szCs w:val="24"/>
        </w:rPr>
      </w:pPr>
    </w:p>
    <w:p w:rsidR="00745AF6" w:rsidRPr="00745AF6" w:rsidRDefault="00745AF6" w:rsidP="00745AF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745AF6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745AF6" w:rsidRPr="00745AF6" w:rsidRDefault="00745AF6" w:rsidP="00745AF6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ИЗДЕВАТЕЛЬСТВО! Никаким другим термином не назовешь процедуру аккредитации в части практических навыков. Для не </w:t>
      </w:r>
      <w:proofErr w:type="spell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сведующих</w:t>
      </w:r>
      <w:proofErr w:type="spell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объясню. Аккредитация после ординатуры состоит из трех этапов: первого, второго, третьего. </w:t>
      </w:r>
      <w:proofErr w:type="gram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Первый этап это</w:t>
      </w:r>
      <w:proofErr w:type="gram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тесты вопросы-ответы, второй - задачи, третий - практические навыки. </w:t>
      </w:r>
      <w:proofErr w:type="gram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Первый этап это изучение</w:t>
      </w:r>
      <w:proofErr w:type="gram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5415 вопросов-ответов, из них выбирается 80 и дается 1 час на ответы. Проходной балл 70% и выше. Второй этап </w:t>
      </w:r>
      <w:proofErr w:type="gram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- это</w:t>
      </w:r>
      <w:proofErr w:type="gram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задачи, в которых 12 пунктов, из которых 5-7 теоретические. Всего 594 задачи, из которых выбираются 2, нужно в каждой задаче не сделать более 4-х ошибок. И наконец, практические навыки.</w:t>
      </w: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br/>
      </w: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br/>
        <w:t xml:space="preserve">Состоят из пяти станций: СЛР (сердечно-легочная реанимация), экстренная помощь, исследование систем( по выбору программы на манекенах - </w:t>
      </w:r>
      <w:proofErr w:type="spell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ссс</w:t>
      </w:r>
      <w:proofErr w:type="spell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, дыхательная, пищеварительная системы), четвертая станция сбор жалоб и анамнеза или консультации, пятая ЭКГ.</w:t>
      </w: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br/>
      </w: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br/>
        <w:t>Если хоть на одной стации человек за темным стеклом, надеюсь, бронированным, вам выставит менее 70% на одной из станций, то результат считается отрицательным.</w:t>
      </w: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В чем, как говорят сейчас, прикол или фишка этой процедуры аккредитации?</w:t>
      </w: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Первое, «умники», мягко выражаясь, из </w:t>
      </w:r>
      <w:proofErr w:type="spell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минздрава</w:t>
      </w:r>
      <w:proofErr w:type="spell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совместили второй и третий этап аккредитации. И приравняли в общем-то, кроме ЭКГ </w:t>
      </w:r>
      <w:proofErr w:type="spell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парамедицинские</w:t>
      </w:r>
      <w:proofErr w:type="spell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манипуляция и пропедевтику 3 курса </w:t>
      </w:r>
      <w:proofErr w:type="spell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медвуза</w:t>
      </w:r>
      <w:proofErr w:type="spell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в 3 третьем этапе аккредитации к теоретическим знаниям 1 и 2 этапов. Да и к самому диплому выпускника вуза и ординатуры.</w:t>
      </w: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Мало того, они совместили 2 и 3 этап аккредитации. Если не сдаешь на 3 этапе одну из станций, то пересдаешь снова второй и третий этапы. Где логика? Она </w:t>
      </w:r>
      <w:proofErr w:type="gram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на сомом</w:t>
      </w:r>
      <w:proofErr w:type="gram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деле есть. Логика садизма, социал-дарвинизма, издевательства над личностью и унижения.</w:t>
      </w: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У меня на первом этапе было 95% правильных ответов, на втором 100%, на третьем 60% (да, я сплоховал). Я пришел к выводу, что врачи не нужны современному здравоохранению. </w:t>
      </w:r>
      <w:r w:rsidRPr="00745AF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Нужны </w:t>
      </w:r>
      <w:proofErr w:type="spellStart"/>
      <w:r w:rsidRPr="00745AF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парамедики</w:t>
      </w:r>
      <w:proofErr w:type="spellEnd"/>
      <w:r w:rsidRPr="00745AF6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и роботы, успевающие в нужный момент нажимать правильные кнопочки.</w:t>
      </w: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Меня удивляет, почему такое гипертрофированное внимание уделяется практическим навыкам, связанным с экстренной медициной? Врач-терапевт каждый день делает СЛР? Он будет исследовать больного каждый раз по пропедевтике 3-го курса </w:t>
      </w:r>
      <w:proofErr w:type="spell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медвуза</w:t>
      </w:r>
      <w:proofErr w:type="spell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?</w:t>
      </w: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Еще другая проблема. Закрытость. Ни на каком этапе аккредитации не выдается раскладка ее результатов. Не ясно, где и какие ошибки совершил испытуемый, что ему нужно исправить. Все основано на догадках.</w:t>
      </w: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С печалью смотрю на лица молодых выпускников. В их глазах ужас. Большинство из них знает свой предмет, но надо пройти акробатику и эквилибристику </w:t>
      </w:r>
      <w:proofErr w:type="spell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практнавыков</w:t>
      </w:r>
      <w:proofErr w:type="spell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, мало связанных с основной профессией. По опыту скажу, что сколько бы не отрабатывали </w:t>
      </w:r>
      <w:proofErr w:type="spellStart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практнавыки</w:t>
      </w:r>
      <w:proofErr w:type="spellEnd"/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 xml:space="preserve"> в данном виде, все это бесполезно, если с этим человек сталкивается редко.</w:t>
      </w:r>
    </w:p>
    <w:p w:rsidR="00745AF6" w:rsidRPr="00745AF6" w:rsidRDefault="00745AF6" w:rsidP="00745A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45AF6">
        <w:rPr>
          <w:rFonts w:ascii="Calibri" w:eastAsia="Times New Roman" w:hAnsi="Calibri" w:cs="Calibri"/>
          <w:sz w:val="24"/>
          <w:szCs w:val="24"/>
          <w:lang w:eastAsia="ru-RU"/>
        </w:rPr>
        <w:t>Для чего все это? Может, я что-то не понимаю?</w:t>
      </w:r>
    </w:p>
    <w:p w:rsidR="00745AF6" w:rsidRPr="00745AF6" w:rsidRDefault="00745AF6" w:rsidP="00745AF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hyperlink r:id="rId29" w:history="1">
        <w:r w:rsidRPr="00745AF6">
          <w:rPr>
            <w:rStyle w:val="a3"/>
            <w:rFonts w:ascii="Calibri" w:hAnsi="Calibri" w:cs="Calibri"/>
            <w:sz w:val="24"/>
            <w:szCs w:val="24"/>
          </w:rPr>
          <w:t>https://vrachirf.ru/concilium/141963.html</w:t>
        </w:r>
      </w:hyperlink>
    </w:p>
    <w:p w:rsidR="00745AF6" w:rsidRPr="00745AF6" w:rsidRDefault="00745AF6" w:rsidP="00745AF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sectPr w:rsidR="00745AF6" w:rsidRPr="0074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9A"/>
    <w:rsid w:val="000165E0"/>
    <w:rsid w:val="0047269A"/>
    <w:rsid w:val="00745AF6"/>
    <w:rsid w:val="008D72F2"/>
    <w:rsid w:val="00C27E60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9143"/>
  <w15:chartTrackingRefBased/>
  <w15:docId w15:val="{E207305F-C7C6-4B6B-8F68-1F4DB580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a0"/>
    <w:rsid w:val="0047269A"/>
  </w:style>
  <w:style w:type="character" w:styleId="a3">
    <w:name w:val="Hyperlink"/>
    <w:basedOn w:val="a0"/>
    <w:uiPriority w:val="99"/>
    <w:unhideWhenUsed/>
    <w:rsid w:val="004726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69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74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3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95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2171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2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600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1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984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6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4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138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1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29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29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1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5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5408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1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618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5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7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32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8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1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657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40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74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358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3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8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4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6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2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84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56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608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2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6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950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07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3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0572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emec.ru/news/2023/09/29/pravitelstvo-sokratit-raskhody-fedbyudzheta-po-natsproektu-zdravookhranenie/" TargetMode="External"/><Relationship Id="rId13" Type="http://schemas.openxmlformats.org/officeDocument/2006/relationships/hyperlink" Target="https://medvestnik.ru/content/news/Murashko-poprosil-na-reshenie-kadrovoi-problemy-v-otrasli-4-5-let.html" TargetMode="External"/><Relationship Id="rId18" Type="http://schemas.openxmlformats.org/officeDocument/2006/relationships/hyperlink" Target="https://crimea.ria.ru/20240320/pochti-million-medikov-poluchili-dopolnitelnye-vyplaty-v-2023-godu-1135872220.html" TargetMode="External"/><Relationship Id="rId26" Type="http://schemas.openxmlformats.org/officeDocument/2006/relationships/hyperlink" Target="https://medvestnik.ru/content/news/Schetnaya-palata-rekomendovala-Minzdravu-ustanovit-prichiny-otkazov-regionov-ot-provedeniya-MG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Putin-anonsiroval-novye-mery-finansovoi-podderjki-medrabotnikov-2.html" TargetMode="External"/><Relationship Id="rId7" Type="http://schemas.openxmlformats.org/officeDocument/2006/relationships/hyperlink" Target="https://vademec.ru/news/2024/06/11/raskhody-fedbyudzheta-na-zdravookhranenie-planiruyut-uvelichit-na-787-mln-rubley-v-2024-godu/" TargetMode="External"/><Relationship Id="rId12" Type="http://schemas.openxmlformats.org/officeDocument/2006/relationships/hyperlink" Target="https://medvestnik.ru/content/news/Golikova-rasskazala-o-napolnenii-novogo-nacproekta-Kadry.html" TargetMode="External"/><Relationship Id="rId17" Type="http://schemas.openxmlformats.org/officeDocument/2006/relationships/hyperlink" Target="http://government.ru/news/52147/" TargetMode="External"/><Relationship Id="rId25" Type="http://schemas.openxmlformats.org/officeDocument/2006/relationships/hyperlink" Target="https://www.ffoms.gov.ru/upload/iblock/2bb/zi8614b3gcic2t01710ytjubz3tipmi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Dlya-fedproekta-Medicinskie-kadry-razrabotaut-informacionnyi-resurs.html" TargetMode="External"/><Relationship Id="rId20" Type="http://schemas.openxmlformats.org/officeDocument/2006/relationships/hyperlink" Target="https://m.vk.com/wall-66412790_19356" TargetMode="External"/><Relationship Id="rId29" Type="http://schemas.openxmlformats.org/officeDocument/2006/relationships/hyperlink" Target="https://vrachirf.ru/concilium/14196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ademec.ru/news/2024/06/13/donorstvo-krovi-mogut-priravnyat-k-volonterskoy-deyatelnosti-/" TargetMode="External"/><Relationship Id="rId11" Type="http://schemas.openxmlformats.org/officeDocument/2006/relationships/hyperlink" Target="http://government.ru/news/52175/" TargetMode="External"/><Relationship Id="rId24" Type="http://schemas.openxmlformats.org/officeDocument/2006/relationships/hyperlink" Target="https://medvestnik.ru/content/news/Minzdrav-i-FOMS-razoslali-metodicheskie-rekomendacii-po-oplate-medpomoshi-v-OMS-na-2024-god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Organizaciyam-vyplatyat-primerno-po-300-tys-rublei-za-naem-rabotnika-iz-drugogo-regiona.html" TargetMode="External"/><Relationship Id="rId23" Type="http://schemas.openxmlformats.org/officeDocument/2006/relationships/hyperlink" Target="https://medvestnik.ru/content/news/Gosduma-i-SPCh-proveryat-jaloby-na-snijenie-zarplat-medrabotnikov-posle-obeshaniya-povysit-oklady.html" TargetMode="External"/><Relationship Id="rId28" Type="http://schemas.openxmlformats.org/officeDocument/2006/relationships/hyperlink" Target="https://medvestnik.ru/content/news/Minzdrav-i-FOMS-obnovili-pravila-oplaty-medpomoshi-po-OMS.html" TargetMode="External"/><Relationship Id="rId10" Type="http://schemas.openxmlformats.org/officeDocument/2006/relationships/hyperlink" Target="https://vademec.ru/news/2024/07/15/minzdrav-v-2024-godu-dopolnitelno-poluchit-484-mln-rubley-iz-fedbyudzheta/" TargetMode="External"/><Relationship Id="rId19" Type="http://schemas.openxmlformats.org/officeDocument/2006/relationships/hyperlink" Target="https://crimea.ria.ru/20240718/zemskie-doktora-v-novykh-regionakh-rf-poluchat-dvoynuyu-kompensatsiyu-1138974701.html?utm_source=yxnews&amp;utm_medium=desktop&amp;utm_referrer=https%3A%2F%2Fdzen.ru%2Fnews%2Fsearch%3Ftext%3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ademec.ru/news/2023/10/17/sp-raskhody-fedbyudzheta-2024-na-zdravookhranenie-v-realnom-vyrazhenii-snizyatsya-na-1-2/" TargetMode="External"/><Relationship Id="rId14" Type="http://schemas.openxmlformats.org/officeDocument/2006/relationships/hyperlink" Target="https://medvestnik.ru/content/news/Ot-regionov-potrebuut-plany-po-obespechennosti-medicinskimi-kadrami.html" TargetMode="External"/><Relationship Id="rId22" Type="http://schemas.openxmlformats.org/officeDocument/2006/relationships/hyperlink" Target="https://medvestnik.ru/content/news/Tamara-Goncharova-v-bolshinstve-regionov-zarplaty-vrachei-podtyagivaut-stimuliruushimi.html" TargetMode="External"/><Relationship Id="rId27" Type="http://schemas.openxmlformats.org/officeDocument/2006/relationships/hyperlink" Target="https://medvestnik.ru/content/news/Strahovshiki-razyasnili-mehanizm-neoplaty-nekotoryh-vidov-targetnoi-terapii-bez-podbor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107D-3A91-2343-9CC4-42E206A0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2024-07-22T14:26:00Z</dcterms:created>
  <dcterms:modified xsi:type="dcterms:W3CDTF">2024-07-22T14:26:00Z</dcterms:modified>
</cp:coreProperties>
</file>